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2.2/04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rabenlose Kanalsanierung in der Goltermannstraße Stadt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rabenlose Kanalsanierung in der Goltermannstraße Stadt Seelz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